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701</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 xml:space="preserve">03 июля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Агзямова</w:t>
      </w:r>
      <w:r>
        <w:rPr>
          <w:rFonts w:ascii="Times New Roman" w:eastAsia="Times New Roman" w:hAnsi="Times New Roman" w:cs="Times New Roman"/>
          <w:sz w:val="28"/>
          <w:szCs w:val="28"/>
        </w:rPr>
        <w:t xml:space="preserve">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Сотавов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Азамат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Асельдерович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ExternalSystemDefinedgrp-34rplc-6"/>
          <w:rFonts w:ascii="Times New Roman" w:eastAsia="Times New Roman" w:hAnsi="Times New Roman" w:cs="Times New Roman"/>
          <w:sz w:val="28"/>
          <w:szCs w:val="28"/>
        </w:rPr>
        <w:t>...</w:t>
      </w:r>
      <w:r>
        <w:rPr>
          <w:rStyle w:val="cat-PassportDatagrp-20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работающего у </w:t>
      </w:r>
      <w:r>
        <w:rPr>
          <w:rStyle w:val="cat-OrganizationNamegrp-22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водителем, </w:t>
      </w:r>
      <w:r>
        <w:rPr>
          <w:rFonts w:ascii="Times New Roman" w:eastAsia="Times New Roman" w:hAnsi="Times New Roman" w:cs="Times New Roman"/>
          <w:sz w:val="28"/>
          <w:szCs w:val="28"/>
        </w:rPr>
        <w:t>прожива</w:t>
      </w:r>
      <w:r>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5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1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Сотавов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01.05.2024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 а/д</w:t>
      </w:r>
      <w:r>
        <w:rPr>
          <w:rFonts w:ascii="Times New Roman" w:eastAsia="Times New Roman" w:hAnsi="Times New Roman" w:cs="Times New Roman"/>
          <w:sz w:val="28"/>
          <w:szCs w:val="28"/>
        </w:rPr>
        <w:t xml:space="preserve"> Тюмень-Ханты-Мансийск,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Нефтеюганского района,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 xml:space="preserve">ы,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5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CRAFT</w:t>
      </w:r>
      <w:r>
        <w:rPr>
          <w:rFonts w:ascii="Times New Roman" w:eastAsia="Times New Roman" w:hAnsi="Times New Roman" w:cs="Times New Roman"/>
          <w:sz w:val="28"/>
          <w:szCs w:val="28"/>
        </w:rPr>
        <w:t xml:space="preserve">, </w:t>
      </w:r>
      <w:r>
        <w:rPr>
          <w:rStyle w:val="cat-CarNumbergrp-26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соверш</w:t>
      </w:r>
      <w:r>
        <w:rPr>
          <w:rFonts w:ascii="Times New Roman" w:eastAsia="Times New Roman" w:hAnsi="Times New Roman" w:cs="Times New Roman"/>
          <w:sz w:val="28"/>
          <w:szCs w:val="28"/>
        </w:rPr>
        <w:t xml:space="preserve">ении маневра обгон впереди движущегося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ого средства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выехал с соблюдением ПДД </w:t>
      </w:r>
      <w:r>
        <w:rPr>
          <w:rStyle w:val="cat-ExternalSystemDefinedgrp-33rplc-18"/>
          <w:rFonts w:ascii="Times New Roman" w:eastAsia="Times New Roman" w:hAnsi="Times New Roman" w:cs="Times New Roman"/>
          <w:sz w:val="28"/>
          <w:szCs w:val="28"/>
        </w:rPr>
        <w:t>...</w:t>
      </w:r>
      <w:r>
        <w:rPr>
          <w:rFonts w:ascii="Times New Roman" w:eastAsia="Times New Roman" w:hAnsi="Times New Roman" w:cs="Times New Roman"/>
          <w:sz w:val="28"/>
          <w:szCs w:val="28"/>
        </w:rPr>
        <w:t>, но при этом закончил своей маневр в зоне действия</w:t>
      </w:r>
      <w:r>
        <w:rPr>
          <w:rFonts w:ascii="Times New Roman" w:eastAsia="Times New Roman" w:hAnsi="Times New Roman" w:cs="Times New Roman"/>
          <w:sz w:val="28"/>
          <w:szCs w:val="28"/>
        </w:rPr>
        <w:t xml:space="preserve"> дорожного </w:t>
      </w:r>
      <w:r>
        <w:rPr>
          <w:rFonts w:ascii="Times New Roman" w:eastAsia="Times New Roman" w:hAnsi="Times New Roman" w:cs="Times New Roman"/>
          <w:sz w:val="28"/>
          <w:szCs w:val="28"/>
        </w:rPr>
        <w:t>знака 3.20 «Обгон запрещен»</w:t>
      </w:r>
      <w:r>
        <w:rPr>
          <w:rFonts w:ascii="Times New Roman" w:eastAsia="Times New Roman" w:hAnsi="Times New Roman" w:cs="Times New Roman"/>
          <w:sz w:val="28"/>
          <w:szCs w:val="28"/>
        </w:rPr>
        <w:t xml:space="preserve"> и дорожной разметки 1.16.1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 xml:space="preserve">1.3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Сотавов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вину в совершении административного правонарушения признал полностью. </w:t>
      </w:r>
      <w:r>
        <w:rPr>
          <w:rFonts w:ascii="Times New Roman" w:eastAsia="Times New Roman" w:hAnsi="Times New Roman" w:cs="Times New Roman"/>
          <w:sz w:val="28"/>
          <w:szCs w:val="28"/>
        </w:rPr>
        <w:t xml:space="preserve">Просит </w:t>
      </w:r>
      <w:r>
        <w:rPr>
          <w:rFonts w:ascii="Times New Roman" w:eastAsia="Times New Roman" w:hAnsi="Times New Roman" w:cs="Times New Roman"/>
          <w:sz w:val="28"/>
          <w:szCs w:val="28"/>
        </w:rPr>
        <w:t xml:space="preserve">не лишать его права управления транспортными средства, поскольку работает водителем, </w:t>
      </w:r>
      <w:r>
        <w:rPr>
          <w:rFonts w:ascii="Times New Roman" w:eastAsia="Times New Roman" w:hAnsi="Times New Roman" w:cs="Times New Roman"/>
          <w:sz w:val="28"/>
          <w:szCs w:val="28"/>
        </w:rPr>
        <w:t>и его заработок является единственным источником дохода в семье</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Сотавова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Сотавова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6rplc-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05.2024</w:t>
      </w:r>
      <w:r>
        <w:rPr>
          <w:rFonts w:ascii="Times New Roman" w:eastAsia="Times New Roman" w:hAnsi="Times New Roman" w:cs="Times New Roman"/>
          <w:sz w:val="28"/>
          <w:szCs w:val="28"/>
        </w:rPr>
        <w:t xml:space="preserve">, из которого следует, что права и обязанности, предусмотренные 25.1 КоАП </w:t>
      </w:r>
      <w:r>
        <w:rPr>
          <w:rStyle w:val="cat-ExternalSystemDefinedgrp-33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ст. 51 Конституции </w:t>
      </w:r>
      <w:r>
        <w:rPr>
          <w:rStyle w:val="cat-ExternalSystemDefinedgrp-33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Сотавов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Сотавов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01.05.2024 в 12:35, на 728 км а/д Тюмень-Ханты-Мансийск,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Нефтеюганского района, ХМАО-Югры, управляя транспортным средством </w:t>
      </w:r>
      <w:r>
        <w:rPr>
          <w:rStyle w:val="cat-CarMakeModelgrp-25rplc-3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CRAFT</w:t>
      </w:r>
      <w:r>
        <w:rPr>
          <w:rFonts w:ascii="Times New Roman" w:eastAsia="Times New Roman" w:hAnsi="Times New Roman" w:cs="Times New Roman"/>
          <w:sz w:val="28"/>
          <w:szCs w:val="28"/>
        </w:rPr>
        <w:t xml:space="preserve">, </w:t>
      </w:r>
      <w:r>
        <w:rPr>
          <w:rStyle w:val="cat-CarNumbergrp-26rplc-3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 совершении маневра обгон впереди движущегося транспортного средства, выехал с соблюдением ПДД </w:t>
      </w:r>
      <w:r>
        <w:rPr>
          <w:rStyle w:val="cat-ExternalSystemDefinedgrp-33rplc-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 при этом закончил своей маневр в зоне действия дорожного знака 3.20 «Обгон запрещен» и дорожной разметки 1.16.1, чем нарушил п.1.3 Правил дорожного движения Российской Федерации, утвержденных постановлением </w:t>
      </w:r>
      <w:r>
        <w:rPr>
          <w:rFonts w:ascii="Times New Roman" w:eastAsia="Times New Roman" w:hAnsi="Times New Roman" w:cs="Times New Roman"/>
          <w:sz w:val="28"/>
          <w:szCs w:val="28"/>
        </w:rPr>
        <w:t>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рапортом ИДПС ОВ ДПС ГИБДД ОМВД России по Нефтеюганскому району, из которого следует, что </w:t>
      </w:r>
      <w:r>
        <w:rPr>
          <w:rFonts w:ascii="Times New Roman" w:eastAsia="Times New Roman" w:hAnsi="Times New Roman" w:cs="Times New Roman"/>
          <w:sz w:val="28"/>
          <w:szCs w:val="28"/>
        </w:rPr>
        <w:t>01.05.2024 в 12:35, на 728 км а/д Тюмень-Ханты-Мансийск,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Сотавов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управляя транспортным средством </w:t>
      </w:r>
      <w:r>
        <w:rPr>
          <w:rStyle w:val="cat-CarMakeModelgrp-25rplc-4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CRAFT</w:t>
      </w:r>
      <w:r>
        <w:rPr>
          <w:rFonts w:ascii="Times New Roman" w:eastAsia="Times New Roman" w:hAnsi="Times New Roman" w:cs="Times New Roman"/>
          <w:sz w:val="28"/>
          <w:szCs w:val="28"/>
        </w:rPr>
        <w:t xml:space="preserve">, </w:t>
      </w:r>
      <w:r>
        <w:rPr>
          <w:rStyle w:val="cat-CarNumbergrp-26rplc-4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w:t>
      </w:r>
      <w:r>
        <w:rPr>
          <w:rFonts w:ascii="Times New Roman" w:eastAsia="Times New Roman" w:hAnsi="Times New Roman" w:cs="Times New Roman"/>
          <w:sz w:val="28"/>
          <w:szCs w:val="28"/>
        </w:rPr>
        <w:t>обгон</w:t>
      </w:r>
      <w:r>
        <w:rPr>
          <w:rFonts w:ascii="Times New Roman" w:eastAsia="Times New Roman" w:hAnsi="Times New Roman" w:cs="Times New Roman"/>
          <w:sz w:val="28"/>
          <w:szCs w:val="28"/>
        </w:rPr>
        <w:t xml:space="preserve"> попутно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движущегося </w:t>
      </w:r>
      <w:r>
        <w:rPr>
          <w:rFonts w:ascii="Times New Roman" w:eastAsia="Times New Roman" w:hAnsi="Times New Roman" w:cs="Times New Roman"/>
          <w:sz w:val="28"/>
          <w:szCs w:val="28"/>
        </w:rPr>
        <w:t>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который двигался по своей полосе без изменения </w:t>
      </w:r>
      <w:r>
        <w:rPr>
          <w:rFonts w:ascii="Times New Roman" w:eastAsia="Times New Roman" w:hAnsi="Times New Roman" w:cs="Times New Roman"/>
          <w:sz w:val="28"/>
          <w:szCs w:val="28"/>
        </w:rPr>
        <w:t>направления</w:t>
      </w:r>
      <w:r>
        <w:rPr>
          <w:rFonts w:ascii="Times New Roman" w:eastAsia="Times New Roman" w:hAnsi="Times New Roman" w:cs="Times New Roman"/>
          <w:sz w:val="28"/>
          <w:szCs w:val="28"/>
        </w:rPr>
        <w:t xml:space="preserve"> движения, без указателей поворотов, тем самым совершил выезд на сторону проезжей части, предназначенной для встречного движения, нарушив требования п. 1.3 ПД</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 </w:t>
      </w:r>
      <w:r>
        <w:rPr>
          <w:rStyle w:val="cat-ExternalSystemDefinedgrp-33rplc-4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нарушения ПДД,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Сотавов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01.05.2024 в 12:35, на 728 км а/д Тюмень-Ханты-Мансийск,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управляя транспортным средством </w:t>
      </w:r>
      <w:r>
        <w:rPr>
          <w:rStyle w:val="cat-CarMakeModelgrp-25rplc-4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CRAFT</w:t>
      </w:r>
      <w:r>
        <w:rPr>
          <w:rFonts w:ascii="Times New Roman" w:eastAsia="Times New Roman" w:hAnsi="Times New Roman" w:cs="Times New Roman"/>
          <w:sz w:val="28"/>
          <w:szCs w:val="28"/>
        </w:rPr>
        <w:t xml:space="preserve">, </w:t>
      </w:r>
      <w:r>
        <w:rPr>
          <w:rStyle w:val="cat-CarNumbergrp-26rplc-4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 совершении маневра обгон впереди движущегося транспортного средства, выехал с соблюдением ПДД </w:t>
      </w:r>
      <w:r>
        <w:rPr>
          <w:rStyle w:val="cat-ExternalSystemDefinedgrp-33rplc-50"/>
          <w:rFonts w:ascii="Times New Roman" w:eastAsia="Times New Roman" w:hAnsi="Times New Roman" w:cs="Times New Roman"/>
          <w:sz w:val="28"/>
          <w:szCs w:val="28"/>
        </w:rPr>
        <w:t>...</w:t>
      </w:r>
      <w:r>
        <w:rPr>
          <w:rFonts w:ascii="Times New Roman" w:eastAsia="Times New Roman" w:hAnsi="Times New Roman" w:cs="Times New Roman"/>
          <w:sz w:val="28"/>
          <w:szCs w:val="28"/>
        </w:rPr>
        <w:t>, но при этом закончил своей маневр в зоне действия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Сотавов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со схемой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Сотавов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 на вышеуказанном участке автодороги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 распространяется действие дорожного знака 3.20 «Обгон запрещен»</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соответствии с постановлением Пленума Верховного Суда </w:t>
      </w:r>
      <w:r>
        <w:rPr>
          <w:rStyle w:val="cat-ExternalSystemDefinedgrp-33rplc-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w:t>
      </w:r>
      <w:r>
        <w:rPr>
          <w:rStyle w:val="cat-ExternalSystemDefinedgrp-33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w:t>
      </w:r>
      <w:r>
        <w:rPr>
          <w:rStyle w:val="cat-ExternalSystemDefinedgrp-33rplc-5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которые квалифицируются по части 3 данной статьи), подлежат квалификации по части 4 статьи 12.15 КоАП </w:t>
      </w:r>
      <w:r>
        <w:rPr>
          <w:rStyle w:val="cat-ExternalSystemDefinedgrp-33rplc-57"/>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w:t>
      </w:r>
      <w:r>
        <w:rPr>
          <w:rFonts w:ascii="Times New Roman" w:eastAsia="Times New Roman" w:hAnsi="Times New Roman" w:cs="Times New Roman"/>
          <w:sz w:val="28"/>
          <w:szCs w:val="28"/>
        </w:rPr>
        <w:t xml:space="preserve">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w:t>
      </w:r>
      <w:r>
        <w:rPr>
          <w:rStyle w:val="cat-ExternalSystemDefinedgrp-33rplc-58"/>
          <w:rFonts w:ascii="Times New Roman" w:eastAsia="Times New Roman" w:hAnsi="Times New Roman" w:cs="Times New Roman"/>
          <w:sz w:val="28"/>
          <w:szCs w:val="28"/>
        </w:rPr>
        <w:t>...</w:t>
      </w:r>
      <w:r>
        <w:rPr>
          <w:rFonts w:ascii="Times New Roman" w:eastAsia="Times New Roman" w:hAnsi="Times New Roman" w:cs="Times New Roman"/>
          <w:sz w:val="28"/>
          <w:szCs w:val="28"/>
        </w:rPr>
        <w:t>.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w:t>
      </w:r>
      <w:r>
        <w:rPr>
          <w:rStyle w:val="cat-ExternalSystemDefinedgrp-33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 xml:space="preserve">Линия горизонтальной разметки </w:t>
      </w:r>
      <w:hyperlink r:id="rId4" w:history="1">
        <w:r>
          <w:rPr>
            <w:rFonts w:ascii="Times New Roman" w:eastAsia="Times New Roman" w:hAnsi="Times New Roman" w:cs="Times New Roman"/>
            <w:color w:val="0000EE"/>
            <w:sz w:val="28"/>
            <w:szCs w:val="28"/>
            <w:u w:val="single" w:color="0000EE"/>
          </w:rPr>
          <w:t>1.16.1</w:t>
        </w:r>
      </w:hyperlink>
      <w:r>
        <w:rPr>
          <w:rFonts w:ascii="Times New Roman" w:eastAsia="Times New Roman" w:hAnsi="Times New Roman" w:cs="Times New Roman"/>
          <w:sz w:val="28"/>
          <w:szCs w:val="28"/>
        </w:rPr>
        <w:t xml:space="preserve"> Приложения N 2 к Правилам дорожного движения обозначает островки, разделяющие транспортные потоки противоположных направлений, места для стоянки транспортных средств (парковки) и велосипедные полосы.</w:t>
      </w:r>
    </w:p>
    <w:p>
      <w:pPr>
        <w:spacing w:before="0" w:after="0"/>
        <w:ind w:right="26" w:firstLine="567"/>
        <w:jc w:val="both"/>
        <w:rPr>
          <w:sz w:val="28"/>
          <w:szCs w:val="28"/>
        </w:rPr>
      </w:pPr>
      <w:r>
        <w:rPr>
          <w:sz w:val="28"/>
          <w:szCs w:val="28"/>
        </w:rPr>
        <w:tab/>
      </w:r>
      <w:r>
        <w:rPr>
          <w:rFonts w:ascii="Times New Roman" w:eastAsia="Times New Roman" w:hAnsi="Times New Roman" w:cs="Times New Roman"/>
          <w:sz w:val="28"/>
          <w:szCs w:val="28"/>
        </w:rPr>
        <w:t xml:space="preserve">В силу разъяснений, изложенных в </w:t>
      </w:r>
      <w:hyperlink r:id="rId5" w:history="1">
        <w:r>
          <w:rPr>
            <w:rFonts w:ascii="Times New Roman" w:eastAsia="Times New Roman" w:hAnsi="Times New Roman" w:cs="Times New Roman"/>
            <w:color w:val="0000EE"/>
            <w:sz w:val="28"/>
            <w:szCs w:val="28"/>
          </w:rPr>
          <w:t>подпункте "а" пункта 15</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6" w:history="1">
        <w:r>
          <w:rPr>
            <w:rFonts w:ascii="Times New Roman" w:eastAsia="Times New Roman" w:hAnsi="Times New Roman" w:cs="Times New Roman"/>
            <w:color w:val="0000EE"/>
            <w:sz w:val="28"/>
            <w:szCs w:val="28"/>
          </w:rPr>
          <w:t>пункт 1.2</w:t>
        </w:r>
      </w:hyperlink>
      <w:r>
        <w:rPr>
          <w:rFonts w:ascii="Times New Roman" w:eastAsia="Times New Roman" w:hAnsi="Times New Roman" w:cs="Times New Roman"/>
          <w:sz w:val="28"/>
          <w:szCs w:val="28"/>
        </w:rPr>
        <w:t xml:space="preserve"> Правил), которые квалифицируются по </w:t>
      </w:r>
      <w:hyperlink r:id="rId7" w:history="1">
        <w:r>
          <w:rPr>
            <w:rFonts w:ascii="Times New Roman" w:eastAsia="Times New Roman" w:hAnsi="Times New Roman" w:cs="Times New Roman"/>
            <w:color w:val="0000EE"/>
            <w:sz w:val="28"/>
            <w:szCs w:val="28"/>
          </w:rPr>
          <w:t>части 3 данной статьи</w:t>
        </w:r>
      </w:hyperlink>
      <w:r>
        <w:rPr>
          <w:rFonts w:ascii="Times New Roman" w:eastAsia="Times New Roman" w:hAnsi="Times New Roman" w:cs="Times New Roman"/>
          <w:sz w:val="28"/>
          <w:szCs w:val="28"/>
        </w:rPr>
        <w:t xml:space="preserve">), подлежат квалификации по </w:t>
      </w:r>
      <w:hyperlink r:id="rId8" w:history="1">
        <w:r>
          <w:rPr>
            <w:rFonts w:ascii="Times New Roman" w:eastAsia="Times New Roman" w:hAnsi="Times New Roman" w:cs="Times New Roman"/>
            <w:color w:val="0000EE"/>
            <w:sz w:val="28"/>
            <w:szCs w:val="28"/>
          </w:rPr>
          <w:t>части 4 статьи 12.15</w:t>
        </w:r>
      </w:hyperlink>
      <w:r>
        <w:rPr>
          <w:rFonts w:ascii="Times New Roman" w:eastAsia="Times New Roman" w:hAnsi="Times New Roman" w:cs="Times New Roman"/>
          <w:sz w:val="28"/>
          <w:szCs w:val="28"/>
        </w:rPr>
        <w:t xml:space="preserve"> КоАП </w:t>
      </w:r>
      <w:r>
        <w:rPr>
          <w:rStyle w:val="cat-ExternalSystemDefinedgrp-33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Непосредственно такие требования </w:t>
      </w:r>
      <w:hyperlink r:id="rId9"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0" w:history="1">
        <w:r>
          <w:rPr>
            <w:rFonts w:ascii="Times New Roman" w:eastAsia="Times New Roman" w:hAnsi="Times New Roman" w:cs="Times New Roman"/>
            <w:color w:val="0000EE"/>
            <w:sz w:val="28"/>
            <w:szCs w:val="28"/>
          </w:rPr>
          <w:t>пункт 9.1 (1)</w:t>
        </w:r>
      </w:hyperlink>
      <w:r>
        <w:rPr>
          <w:rFonts w:ascii="Times New Roman" w:eastAsia="Times New Roman" w:hAnsi="Times New Roman" w:cs="Times New Roman"/>
          <w:sz w:val="28"/>
          <w:szCs w:val="28"/>
        </w:rPr>
        <w:t xml:space="preserve"> Правил). </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силу требований </w:t>
      </w:r>
      <w:hyperlink r:id="rId11"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в соответствии с разъяснениями, изложенными в </w:t>
      </w:r>
      <w:hyperlink r:id="rId12" w:history="1">
        <w:r>
          <w:rPr>
            <w:rFonts w:ascii="Times New Roman" w:eastAsia="Times New Roman" w:hAnsi="Times New Roman" w:cs="Times New Roman"/>
            <w:color w:val="0000EE"/>
            <w:sz w:val="28"/>
            <w:szCs w:val="28"/>
          </w:rPr>
          <w:t>абзаце 5 пункта 15</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маневр обгона вне зависимости от того, где он был начат, должен быть завершен без нарушения требований </w:t>
      </w:r>
      <w:hyperlink r:id="rId11"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То есть, действия лица, выехавшего на полосу, предназначенную для встречного движения, с соблюдением требований </w:t>
      </w:r>
      <w:hyperlink r:id="rId11"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однако завершившего данный маневр в нарушение указанных требований, подлежат квалификации по </w:t>
      </w:r>
      <w:hyperlink r:id="rId13" w:history="1">
        <w:r>
          <w:rPr>
            <w:rFonts w:ascii="Times New Roman" w:eastAsia="Times New Roman" w:hAnsi="Times New Roman" w:cs="Times New Roman"/>
            <w:color w:val="0000EE"/>
            <w:sz w:val="28"/>
            <w:szCs w:val="28"/>
          </w:rPr>
          <w:t>ч. 4 ст. 12.15</w:t>
        </w:r>
      </w:hyperlink>
      <w:r>
        <w:rPr>
          <w:rFonts w:ascii="Times New Roman" w:eastAsia="Times New Roman" w:hAnsi="Times New Roman" w:cs="Times New Roman"/>
          <w:sz w:val="28"/>
          <w:szCs w:val="28"/>
        </w:rPr>
        <w:t xml:space="preserve"> Кодекса Российской Федерации </w:t>
      </w:r>
      <w:r>
        <w:rPr>
          <w:rFonts w:ascii="Times New Roman" w:eastAsia="Times New Roman" w:hAnsi="Times New Roman" w:cs="Times New Roman"/>
          <w:sz w:val="28"/>
          <w:szCs w:val="28"/>
        </w:rPr>
        <w:t xml:space="preserve">об административных правонарушениях. </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Сотавов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при совершении обгона требований дорожного знака 3.20, с выездом на полосу дороги, предназначенную для встречного движения,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Вина водителя </w:t>
      </w:r>
      <w:r>
        <w:rPr>
          <w:rFonts w:ascii="Times New Roman" w:eastAsia="Times New Roman" w:hAnsi="Times New Roman" w:cs="Times New Roman"/>
          <w:sz w:val="28"/>
          <w:szCs w:val="28"/>
        </w:rPr>
        <w:t>Сотавова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доказательствами по делу.</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Сотавова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Сотавов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Сотавов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Азамат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Асельдерович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w:t>
      </w:r>
      <w:r>
        <w:rPr>
          <w:rFonts w:ascii="Times New Roman" w:eastAsia="Times New Roman" w:hAnsi="Times New Roman" w:cs="Times New Roman"/>
          <w:sz w:val="28"/>
          <w:szCs w:val="28"/>
        </w:rPr>
        <w:t xml:space="preserve">03100643000000018700, Получатель УФК по ХМАО-Югре (УМВД России по ХМАО-Югре) </w:t>
      </w:r>
      <w:r>
        <w:rPr>
          <w:rStyle w:val="cat-OrganizationNamegrp-23rplc-7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ИНН 8601010390 КПП 860101</w:t>
      </w:r>
      <w:r>
        <w:rPr>
          <w:rFonts w:ascii="Times New Roman" w:eastAsia="Times New Roman" w:hAnsi="Times New Roman" w:cs="Times New Roman"/>
          <w:sz w:val="28"/>
          <w:szCs w:val="28"/>
        </w:rPr>
        <w:t>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КБК 188 116 01123 01 0001 140 УИН </w:t>
      </w:r>
      <w:r>
        <w:rPr>
          <w:rFonts w:ascii="Times New Roman" w:eastAsia="Times New Roman" w:hAnsi="Times New Roman" w:cs="Times New Roman"/>
          <w:sz w:val="28"/>
          <w:szCs w:val="28"/>
        </w:rPr>
        <w:t>18810</w:t>
      </w:r>
      <w:r>
        <w:rPr>
          <w:rFonts w:ascii="Times New Roman" w:eastAsia="Times New Roman" w:hAnsi="Times New Roman" w:cs="Times New Roman"/>
          <w:sz w:val="28"/>
          <w:szCs w:val="28"/>
        </w:rPr>
        <w:t>4862</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730007570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 xml:space="preserve">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w:t>
      </w:r>
      <w:r>
        <w:rPr>
          <w:rFonts w:ascii="Times New Roman" w:eastAsia="Times New Roman" w:hAnsi="Times New Roman" w:cs="Times New Roman"/>
          <w:sz w:val="28"/>
          <w:szCs w:val="28"/>
        </w:rPr>
        <w:t>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w:t>
      </w:r>
      <w:r>
        <w:rPr>
          <w:rFonts w:ascii="Times New Roman" w:eastAsia="Times New Roman" w:hAnsi="Times New Roman" w:cs="Times New Roman"/>
          <w:sz w:val="28"/>
          <w:szCs w:val="28"/>
        </w:rPr>
        <w:t>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4rplc-6">
    <w:name w:val="cat-ExternalSystemDefined grp-34 rplc-6"/>
    <w:basedOn w:val="DefaultParagraphFont"/>
  </w:style>
  <w:style w:type="character" w:customStyle="1" w:styleId="cat-PassportDatagrp-20rplc-7">
    <w:name w:val="cat-PassportData grp-20 rplc-7"/>
    <w:basedOn w:val="DefaultParagraphFont"/>
  </w:style>
  <w:style w:type="character" w:customStyle="1" w:styleId="cat-OrganizationNamegrp-22rplc-8">
    <w:name w:val="cat-OrganizationName grp-22 rplc-8"/>
    <w:basedOn w:val="DefaultParagraphFont"/>
  </w:style>
  <w:style w:type="character" w:customStyle="1" w:styleId="cat-UserDefinedgrp-35rplc-9">
    <w:name w:val="cat-UserDefined grp-35 rplc-9"/>
    <w:basedOn w:val="DefaultParagraphFont"/>
  </w:style>
  <w:style w:type="character" w:customStyle="1" w:styleId="cat-PassportDatagrp-21rplc-11">
    <w:name w:val="cat-PassportData grp-21 rplc-11"/>
    <w:basedOn w:val="DefaultParagraphFont"/>
  </w:style>
  <w:style w:type="character" w:customStyle="1" w:styleId="cat-CarMakeModelgrp-25rplc-16">
    <w:name w:val="cat-CarMakeModel grp-25 rplc-16"/>
    <w:basedOn w:val="DefaultParagraphFont"/>
  </w:style>
  <w:style w:type="character" w:customStyle="1" w:styleId="cat-CarNumbergrp-26rplc-17">
    <w:name w:val="cat-CarNumber grp-26 rplc-17"/>
    <w:basedOn w:val="DefaultParagraphFont"/>
  </w:style>
  <w:style w:type="character" w:customStyle="1" w:styleId="cat-ExternalSystemDefinedgrp-33rplc-18">
    <w:name w:val="cat-ExternalSystemDefined grp-33 rplc-18"/>
    <w:basedOn w:val="DefaultParagraphFont"/>
  </w:style>
  <w:style w:type="character" w:customStyle="1" w:styleId="cat-UserDefinedgrp-36rplc-23">
    <w:name w:val="cat-UserDefined grp-36 rplc-23"/>
    <w:basedOn w:val="DefaultParagraphFont"/>
  </w:style>
  <w:style w:type="character" w:customStyle="1" w:styleId="cat-ExternalSystemDefinedgrp-33rplc-25">
    <w:name w:val="cat-ExternalSystemDefined grp-33 rplc-25"/>
    <w:basedOn w:val="DefaultParagraphFont"/>
  </w:style>
  <w:style w:type="character" w:customStyle="1" w:styleId="cat-ExternalSystemDefinedgrp-33rplc-26">
    <w:name w:val="cat-ExternalSystemDefined grp-33 rplc-26"/>
    <w:basedOn w:val="DefaultParagraphFont"/>
  </w:style>
  <w:style w:type="character" w:customStyle="1" w:styleId="cat-CarMakeModelgrp-25rplc-32">
    <w:name w:val="cat-CarMakeModel grp-25 rplc-32"/>
    <w:basedOn w:val="DefaultParagraphFont"/>
  </w:style>
  <w:style w:type="character" w:customStyle="1" w:styleId="cat-CarNumbergrp-26rplc-33">
    <w:name w:val="cat-CarNumber grp-26 rplc-33"/>
    <w:basedOn w:val="DefaultParagraphFont"/>
  </w:style>
  <w:style w:type="character" w:customStyle="1" w:styleId="cat-ExternalSystemDefinedgrp-33rplc-34">
    <w:name w:val="cat-ExternalSystemDefined grp-33 rplc-34"/>
    <w:basedOn w:val="DefaultParagraphFont"/>
  </w:style>
  <w:style w:type="character" w:customStyle="1" w:styleId="cat-CarMakeModelgrp-25rplc-41">
    <w:name w:val="cat-CarMakeModel grp-25 rplc-41"/>
    <w:basedOn w:val="DefaultParagraphFont"/>
  </w:style>
  <w:style w:type="character" w:customStyle="1" w:styleId="cat-CarNumbergrp-26rplc-42">
    <w:name w:val="cat-CarNumber grp-26 rplc-42"/>
    <w:basedOn w:val="DefaultParagraphFont"/>
  </w:style>
  <w:style w:type="character" w:customStyle="1" w:styleId="cat-ExternalSystemDefinedgrp-33rplc-43">
    <w:name w:val="cat-ExternalSystemDefined grp-33 rplc-43"/>
    <w:basedOn w:val="DefaultParagraphFont"/>
  </w:style>
  <w:style w:type="character" w:customStyle="1" w:styleId="cat-CarMakeModelgrp-25rplc-48">
    <w:name w:val="cat-CarMakeModel grp-25 rplc-48"/>
    <w:basedOn w:val="DefaultParagraphFont"/>
  </w:style>
  <w:style w:type="character" w:customStyle="1" w:styleId="cat-CarNumbergrp-26rplc-49">
    <w:name w:val="cat-CarNumber grp-26 rplc-49"/>
    <w:basedOn w:val="DefaultParagraphFont"/>
  </w:style>
  <w:style w:type="character" w:customStyle="1" w:styleId="cat-ExternalSystemDefinedgrp-33rplc-50">
    <w:name w:val="cat-ExternalSystemDefined grp-33 rplc-50"/>
    <w:basedOn w:val="DefaultParagraphFont"/>
  </w:style>
  <w:style w:type="character" w:customStyle="1" w:styleId="cat-ExternalSystemDefinedgrp-33rplc-53">
    <w:name w:val="cat-ExternalSystemDefined grp-33 rplc-53"/>
    <w:basedOn w:val="DefaultParagraphFont"/>
  </w:style>
  <w:style w:type="character" w:customStyle="1" w:styleId="cat-ExternalSystemDefinedgrp-33rplc-55">
    <w:name w:val="cat-ExternalSystemDefined grp-33 rplc-55"/>
    <w:basedOn w:val="DefaultParagraphFont"/>
  </w:style>
  <w:style w:type="character" w:customStyle="1" w:styleId="cat-ExternalSystemDefinedgrp-33rplc-56">
    <w:name w:val="cat-ExternalSystemDefined grp-33 rplc-56"/>
    <w:basedOn w:val="DefaultParagraphFont"/>
  </w:style>
  <w:style w:type="character" w:customStyle="1" w:styleId="cat-ExternalSystemDefinedgrp-33rplc-57">
    <w:name w:val="cat-ExternalSystemDefined grp-33 rplc-57"/>
    <w:basedOn w:val="DefaultParagraphFont"/>
  </w:style>
  <w:style w:type="character" w:customStyle="1" w:styleId="cat-ExternalSystemDefinedgrp-33rplc-58">
    <w:name w:val="cat-ExternalSystemDefined grp-33 rplc-58"/>
    <w:basedOn w:val="DefaultParagraphFont"/>
  </w:style>
  <w:style w:type="character" w:customStyle="1" w:styleId="cat-ExternalSystemDefinedgrp-33rplc-59">
    <w:name w:val="cat-ExternalSystemDefined grp-33 rplc-59"/>
    <w:basedOn w:val="DefaultParagraphFont"/>
  </w:style>
  <w:style w:type="character" w:customStyle="1" w:styleId="cat-ExternalSystemDefinedgrp-33rplc-62">
    <w:name w:val="cat-ExternalSystemDefined grp-33 rplc-62"/>
    <w:basedOn w:val="DefaultParagraphFont"/>
  </w:style>
  <w:style w:type="character" w:customStyle="1" w:styleId="cat-OrganizationNamegrp-23rplc-70">
    <w:name w:val="cat-OrganizationName grp-23 rplc-70"/>
    <w:basedOn w:val="DefaultParagraphFont"/>
  </w:style>
  <w:style w:type="character" w:customStyle="1" w:styleId="cat-UserDefinedgrp-37rplc-78">
    <w:name w:val="cat-UserDefined grp-37 rplc-78"/>
    <w:basedOn w:val="DefaultParagraphFont"/>
  </w:style>
  <w:style w:type="character" w:customStyle="1" w:styleId="cat-UserDefinedgrp-38rplc-81">
    <w:name w:val="cat-UserDefined grp-38 rplc-8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428459&amp;dst=377&amp;field=134&amp;date=23.01.2024" TargetMode="External" /><Relationship Id="rId11" Type="http://schemas.openxmlformats.org/officeDocument/2006/relationships/hyperlink" Target="https://login.consultant.ru/link/?req=doc&amp;demo=2&amp;base=LAW&amp;n=312940&amp;dst=100015&amp;field=134&amp;date=27.08.2023" TargetMode="External" /><Relationship Id="rId12" Type="http://schemas.openxmlformats.org/officeDocument/2006/relationships/hyperlink" Target="https://login.consultant.ru/link/?req=doc&amp;demo=2&amp;base=LAW&amp;n=327611&amp;dst=100096&amp;field=134&amp;date=27.08.2023" TargetMode="External" /><Relationship Id="rId13" Type="http://schemas.openxmlformats.org/officeDocument/2006/relationships/hyperlink" Target="https://login.consultant.ru/link/?req=doc&amp;demo=2&amp;base=LAW&amp;n=330401&amp;dst=2255&amp;field=134&amp;date=27.08.2023"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373615&amp;dst=515&amp;field=134&amp;date=19.07.2024&amp;demo=2" TargetMode="External" /><Relationship Id="rId5" Type="http://schemas.openxmlformats.org/officeDocument/2006/relationships/hyperlink" Target="https://login.consultant.ru/link/?req=doc&amp;demo=2&amp;base=LAW&amp;n=327611&amp;dst=100086&amp;field=134&amp;date=23.01.2024" TargetMode="External" /><Relationship Id="rId6" Type="http://schemas.openxmlformats.org/officeDocument/2006/relationships/hyperlink" Target="https://login.consultant.ru/link/?req=doc&amp;demo=2&amp;base=LAW&amp;n=428459&amp;dst=100020&amp;field=134&amp;date=23.01.2024" TargetMode="External" /><Relationship Id="rId7" Type="http://schemas.openxmlformats.org/officeDocument/2006/relationships/hyperlink" Target="https://login.consultant.ru/link/?req=doc&amp;demo=2&amp;base=LAW&amp;n=449656&amp;dst=3867&amp;field=134&amp;date=23.01.2024" TargetMode="External" /><Relationship Id="rId8" Type="http://schemas.openxmlformats.org/officeDocument/2006/relationships/hyperlink" Target="https://login.consultant.ru/link/?req=doc&amp;demo=2&amp;base=LAW&amp;n=449656&amp;dst=2255&amp;field=134&amp;date=23.01.2024" TargetMode="External" /><Relationship Id="rId9" Type="http://schemas.openxmlformats.org/officeDocument/2006/relationships/hyperlink" Target="https://login.consultant.ru/link/?req=doc&amp;demo=2&amp;base=LAW&amp;n=428459&amp;dst=100015&amp;field=134&amp;date=23.01.2024"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